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-393699</wp:posOffset>
                </wp:positionV>
                <wp:extent cx="320675" cy="18415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675" cy="184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type="#_x0000_t3" style="position:absolute;z-index:502791168;o:allowoverlap:true;o:allowincell:true;mso-position-horizontal-relative:text;margin-left:231.95pt;mso-position-horizontal:absolute;mso-position-vertical-relative:text;margin-top:-31.00pt;mso-position-vertical:absolute;width:25.25pt;height:14.5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spacing w:after="140" w:line="288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140" w:line="288" w:lineRule="auto"/>
        <w:rPr>
          <w:szCs w:val="28"/>
        </w:rPr>
      </w:pPr>
      <w:r>
        <w:rPr>
          <w:szCs w:val="28"/>
        </w:rPr>
        <w:t xml:space="preserve">ПРАВИТЕЛЬСТВО ЕВРЕЙСКОЙ АВТОНОМНОЙ ОБЛАСТИ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/>
        <w:jc w:val="center"/>
        <w:keepLines/>
        <w:keepNext/>
        <w:rPr>
          <w:lang w:eastAsia="ru-RU"/>
        </w:rPr>
        <w:outlineLvl w:val="0"/>
      </w:pPr>
      <w:r>
        <w:rPr>
          <w:lang w:eastAsia="ru-RU"/>
        </w:rPr>
        <w:t xml:space="preserve">ПОСТАНОВЛЕНИЕ</w: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                  №_________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г. Биробиджан</w:t>
      </w:r>
      <w:r>
        <w:rPr>
          <w:szCs w:val="28"/>
        </w:rPr>
      </w:r>
      <w:r>
        <w:rPr>
          <w:szCs w:val="28"/>
        </w:rPr>
      </w:r>
    </w:p>
    <w:p>
      <w:pPr>
        <w:pStyle w:val="884"/>
        <w:jc w:val="both"/>
      </w:pPr>
      <w:r/>
      <w:r/>
    </w:p>
    <w:p>
      <w:pPr>
        <w:pStyle w:val="884"/>
        <w:jc w:val="both"/>
      </w:pPr>
      <w:r>
        <w:t xml:space="preserve">О внесении изменений в </w:t>
      </w:r>
      <w:r>
        <w:t xml:space="preserve">государственную программу Еврейской автономной области «Повышение безопасности дорожного движения» на 2024 – 2029 годы», утвержденную постановлением правительства Еврейской автономной области от 26.12.2023 № 616-пп </w:t>
      </w:r>
      <w:r/>
    </w:p>
    <w:p>
      <w:pPr>
        <w:jc w:val="center"/>
      </w:pPr>
      <w:r/>
      <w:r/>
    </w:p>
    <w:p>
      <w:pPr>
        <w:pStyle w:val="884"/>
        <w:jc w:val="both"/>
      </w:pPr>
      <w:r/>
      <w:r/>
    </w:p>
    <w:p>
      <w:pPr>
        <w:pStyle w:val="884"/>
        <w:ind w:firstLine="720"/>
        <w:jc w:val="both"/>
      </w:pPr>
      <w:r>
        <w:t xml:space="preserve">Правительство Еврейской автономной обл</w:t>
      </w:r>
      <w:r>
        <w:t xml:space="preserve">асти</w:t>
      </w:r>
      <w:r/>
    </w:p>
    <w:p>
      <w:pPr>
        <w:pStyle w:val="884"/>
      </w:pPr>
      <w:r>
        <w:t xml:space="preserve">ПОСТАНОВЛЯЕТ:</w:t>
      </w:r>
      <w:r/>
    </w:p>
    <w:p>
      <w:pPr>
        <w:pStyle w:val="884"/>
        <w:ind w:firstLine="720"/>
        <w:jc w:val="both"/>
      </w:pPr>
      <w:r>
        <w:t xml:space="preserve">1.   Внести в государственную программу Еврейской автономной области «Повышение безопасности дорожного движения» на 2024 – </w:t>
      </w:r>
      <w:r>
        <w:br/>
        <w:t xml:space="preserve">2029 годы», утвержденную</w:t>
      </w:r>
      <w:r>
        <w:t xml:space="preserve"> </w:t>
      </w:r>
      <w:r>
        <w:t xml:space="preserve">постановлением правительства Еврейской автономной области от 26.12.2023 № 616-пп «Об утве</w:t>
      </w:r>
      <w:r>
        <w:t xml:space="preserve">рждении государственной программы Еврейской автономной области «Повышение безопасности дорожного движения» на 2024 – 2029 годы», следующие изменения:</w:t>
      </w:r>
      <w:r/>
    </w:p>
    <w:p>
      <w:pPr>
        <w:pStyle w:val="884"/>
        <w:ind w:firstLine="720"/>
        <w:jc w:val="both"/>
      </w:pPr>
      <w:r>
        <w:t xml:space="preserve">1.1. В разделе </w:t>
      </w:r>
      <w:r>
        <w:rPr>
          <w:lang w:val="en-US"/>
        </w:rPr>
        <w:t xml:space="preserve">II</w:t>
      </w:r>
      <w:r>
        <w:rPr>
          <w:lang w:val="ru-RU"/>
        </w:rPr>
        <w:t xml:space="preserve"> </w:t>
      </w:r>
      <w:r>
        <w:t xml:space="preserve">«Паспорт</w:t>
      </w:r>
      <w:r>
        <w:t xml:space="preserve"> </w:t>
      </w:r>
      <w:r>
        <w:t xml:space="preserve">государственной программы Еврейской автономной области «Повышение безопасности до</w:t>
      </w:r>
      <w:r>
        <w:t xml:space="preserve">рожного движения» на 2024 – 2029 годы»: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  <w:lang w:eastAsia="ru-RU"/>
        </w:rPr>
        <w:tab/>
      </w:r>
      <w:r>
        <w:rPr>
          <w:szCs w:val="28"/>
        </w:rPr>
        <w:t xml:space="preserve">в подразделе 4 «</w:t>
      </w:r>
      <w:r>
        <w:t xml:space="preserve">Финансовое обеспечение государственной программы»: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  <w:tab w:val="left" w:pos="2419" w:leader="none"/>
        </w:tabs>
      </w:pPr>
      <w:r>
        <w:tab/>
      </w:r>
      <w:r>
        <w:rPr>
          <w:szCs w:val="28"/>
        </w:rPr>
        <w:t xml:space="preserve">в подразделе 4.1 </w:t>
      </w:r>
      <w:r>
        <w:rPr>
          <w:szCs w:val="28"/>
        </w:rPr>
        <w:t xml:space="preserve">«</w:t>
      </w:r>
      <w:r>
        <w:rPr>
          <w:szCs w:val="28"/>
        </w:rPr>
        <w:t xml:space="preserve">Финансовое обеспечение государственной программы</w:t>
      </w:r>
      <w:r>
        <w:rPr>
          <w:szCs w:val="28"/>
        </w:rPr>
        <w:t xml:space="preserve"> за счет средств областного бюджета</w:t>
      </w:r>
      <w:r>
        <w:rPr>
          <w:szCs w:val="28"/>
        </w:rPr>
        <w:t xml:space="preserve">»:</w:t>
      </w: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highlight w:val="none"/>
        </w:rPr>
      </w:pPr>
      <w:r>
        <w:rPr>
          <w:szCs w:val="28"/>
        </w:rPr>
        <w:tab/>
        <w:t xml:space="preserve">строку: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tbl>
      <w:tblPr>
        <w:tblW w:w="5048" w:type="pct"/>
        <w:jc w:val="center"/>
        <w:tblInd w:w="-12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7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«Государственная программа Еврейской автономной области «Повышение безопасности дорожного движения»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на 2024 – 2029  годы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322281,7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115963,8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2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319461,7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115423,8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8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2820,0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904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4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заменить строкой: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4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W w:w="5048" w:type="pct"/>
        <w:jc w:val="center"/>
        <w:tblInd w:w="-125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«Государственная программа Еврейской автономной области «Повышение безопасности дорожного движения»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на 2024 – 2029  годы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322281,7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115963,8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319331,7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115293,8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2950,0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670,0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400,0»;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904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4"/>
        <w:ind w:left="142" w:hanging="142"/>
        <w:jc w:val="left"/>
        <w:spacing w:before="0" w:beforeAutospacing="0" w:after="0" w:afterAutospacing="0"/>
        <w:tabs>
          <w:tab w:val="left" w:pos="0" w:leader="none"/>
          <w:tab w:val="left" w:pos="709" w:leader="none"/>
          <w:tab w:val="left" w:pos="167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ab/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 xml:space="preserve">с</w:t>
      </w:r>
      <w:r>
        <w:rPr>
          <w:sz w:val="28"/>
          <w:szCs w:val="20"/>
          <w:lang w:eastAsia="en-US"/>
        </w:rPr>
        <w:t xml:space="preserve">троку: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r/>
      <w:r/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1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</w:t>
            </w:r>
            <w:r>
              <w:rPr>
                <w:sz w:val="17"/>
                <w:szCs w:val="17"/>
                <w:lang w:eastAsia="ru-RU"/>
              </w:rPr>
              <w:t xml:space="preserve">Мероприятие 1 «Предоставление 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  <w:p>
            <w:pPr>
              <w:ind w:left="0" w:right="0"/>
              <w:jc w:val="center"/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67186,0</w:t>
            </w:r>
            <w:r/>
          </w:p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20900,0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67186,0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20900,0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r/>
      <w:r/>
    </w:p>
    <w:p>
      <w:pPr>
        <w:rPr>
          <w:highlight w:val="none"/>
        </w:rPr>
      </w:pPr>
      <w:r>
        <w:t xml:space="preserve">заменить строкой: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1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</w:t>
            </w:r>
            <w:r>
              <w:rPr>
                <w:sz w:val="17"/>
                <w:szCs w:val="17"/>
                <w:lang w:eastAsia="ru-RU"/>
              </w:rPr>
              <w:t xml:space="preserve">Мероприятие 1 «Предоставление 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68286,0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22000,0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68286,0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22000,0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10000,0»;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szCs w:val="28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904"/>
        <w:ind w:left="709" w:hanging="70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0"/>
          <w:lang w:eastAsia="en-US"/>
        </w:rPr>
      </w:pPr>
      <w:r>
        <w:rPr>
          <w:sz w:val="22"/>
          <w:szCs w:val="22"/>
          <w:lang w:eastAsia="en-US"/>
        </w:rPr>
      </w: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 xml:space="preserve">строку:</w:t>
      </w:r>
      <w:r>
        <w:rPr>
          <w:sz w:val="28"/>
          <w:szCs w:val="20"/>
          <w:lang w:eastAsia="en-US"/>
        </w:rPr>
      </w:r>
      <w:r>
        <w:rPr>
          <w:sz w:val="28"/>
          <w:szCs w:val="20"/>
          <w:lang w:eastAsia="en-US"/>
        </w:rPr>
      </w:r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1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</w:t>
            </w:r>
            <w:r>
              <w:rPr>
                <w:sz w:val="17"/>
                <w:szCs w:val="17"/>
                <w:lang w:eastAsia="ru-RU"/>
              </w:rPr>
              <w:t xml:space="preserve">Мероприятие 2 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«Выполнение работ, связанных с осуществлением регулярных перевозок</w:t>
            </w:r>
            <w:r>
              <w:rPr>
                <w:sz w:val="17"/>
                <w:szCs w:val="17"/>
                <w:lang w:eastAsia="ru-RU"/>
              </w:rPr>
              <w:t xml:space="preserve"> </w:t>
            </w:r>
            <w:r>
              <w:rPr>
                <w:sz w:val="17"/>
                <w:szCs w:val="17"/>
                <w:lang w:eastAsia="ru-RU"/>
              </w:rPr>
              <w:t xml:space="preserve">пассажиров и багажа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автомобильным транспортом общего 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пользования по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межмуниципальным маршрутам регулярных перевозок по регулируемым тарифам»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78324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43206,8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78324,7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43206,8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szCs w:val="28"/>
          <w:lang w:eastAsia="ru-RU"/>
        </w:rPr>
      </w:r>
      <w:r>
        <w:t xml:space="preserve">заменить строкой: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1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</w:t>
            </w:r>
            <w:r>
              <w:rPr>
                <w:sz w:val="17"/>
                <w:szCs w:val="17"/>
                <w:lang w:eastAsia="ru-RU"/>
              </w:rPr>
              <w:t xml:space="preserve">Мероприятие 2 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«Выполнение работ, связанных с осуществлением регулярных перевозок</w:t>
            </w:r>
            <w:r>
              <w:rPr>
                <w:sz w:val="17"/>
                <w:szCs w:val="17"/>
                <w:lang w:eastAsia="ru-RU"/>
              </w:rPr>
              <w:t xml:space="preserve"> </w:t>
            </w:r>
            <w:r>
              <w:rPr>
                <w:sz w:val="17"/>
                <w:szCs w:val="17"/>
                <w:lang w:eastAsia="ru-RU"/>
              </w:rPr>
              <w:t xml:space="preserve">пассажиров и багажа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автомобильным транспортом общего 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пользования по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межмуниципальным маршрутам регулярных перевозок по регулируемым тарифам»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77224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42106,8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77224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42106,8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5039,3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  <w:t xml:space="preserve">;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709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sz w:val="28"/>
          <w:szCs w:val="20"/>
          <w:lang w:eastAsia="en-US"/>
        </w:rPr>
        <w:t xml:space="preserve">строки: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709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1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«Комплекс процессных мероприятий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«Государственная поддержка </w:t>
            </w:r>
            <w:r>
              <w:rPr>
                <w:sz w:val="17"/>
                <w:szCs w:val="17"/>
                <w:lang w:eastAsia="ru-RU"/>
              </w:rPr>
              <w:t xml:space="preserve">повышения </w:t>
            </w:r>
            <w:r>
              <w:rPr>
                <w:sz w:val="17"/>
                <w:szCs w:val="17"/>
                <w:lang w:eastAsia="ru-RU"/>
              </w:rPr>
              <w:t xml:space="preserve">безопасности дорожного движения»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3951,0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2820,0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</w:tr>
      <w:tr>
        <w:tblPrEx/>
        <w:trPr>
          <w:jc w:val="center"/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1 «Подготовка и участие команды области во Всероссийском конкурсе юных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инспекторов движения «Безопасное колесо»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</w:t>
            </w:r>
            <w:r>
              <w:rPr>
                <w:sz w:val="18"/>
                <w:szCs w:val="18"/>
                <w:lang w:eastAsia="ru-RU"/>
              </w:rPr>
              <w:t xml:space="preserve">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заменить строками: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1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«Комплекс процессных мероприятий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«Государственная поддержка </w:t>
            </w:r>
            <w:r>
              <w:rPr>
                <w:sz w:val="17"/>
                <w:szCs w:val="17"/>
                <w:lang w:eastAsia="ru-RU"/>
              </w:rPr>
              <w:t xml:space="preserve">повышения </w:t>
            </w:r>
            <w:r>
              <w:rPr>
                <w:sz w:val="17"/>
                <w:szCs w:val="17"/>
                <w:lang w:eastAsia="ru-RU"/>
              </w:rPr>
              <w:t xml:space="preserve">безопасности дорожного движения»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3821,0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2950,0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1187,0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670,0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1317,0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highlight w:val="non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highlight w:val="none"/>
                <w:lang w:eastAsia="ru-RU"/>
              </w:rPr>
            </w:r>
            <w:r>
              <w:rPr>
                <w:sz w:val="18"/>
                <w:szCs w:val="18"/>
                <w:highlight w:val="none"/>
                <w:lang w:eastAsia="ru-RU"/>
              </w:rPr>
            </w:r>
          </w:p>
        </w:tc>
      </w:tr>
      <w:tr>
        <w:tblPrEx/>
        <w:trPr>
          <w:jc w:val="center"/>
          <w:trHeight w:val="1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1 «Подготовка и участие команды области во Всероссийском конкурсе юных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инспекторов движения «Безопасное колесо»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2680,0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630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</w:t>
            </w:r>
            <w:r>
              <w:rPr>
                <w:sz w:val="18"/>
                <w:szCs w:val="18"/>
                <w:lang w:eastAsia="ru-RU"/>
              </w:rPr>
              <w:t xml:space="preserve">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2680,0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630,0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350,0</w:t>
            </w:r>
            <w:r>
              <w:rPr>
                <w:sz w:val="18"/>
                <w:szCs w:val="18"/>
                <w:lang w:eastAsia="ru-RU"/>
              </w:rPr>
              <w:t xml:space="preserve">»;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 w:firstLine="709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709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sz w:val="28"/>
          <w:szCs w:val="20"/>
          <w:lang w:eastAsia="en-US"/>
        </w:rPr>
        <w:t xml:space="preserve">строку: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1117"/>
        <w:gridCol w:w="425"/>
        <w:gridCol w:w="425"/>
        <w:gridCol w:w="850"/>
        <w:gridCol w:w="709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«Мероприятие 6 «</w:t>
            </w:r>
            <w:r>
              <w:rPr>
                <w:sz w:val="18"/>
                <w:szCs w:val="18"/>
                <w:lang w:eastAsia="ru-RU"/>
              </w:rPr>
              <w:t xml:space="preserve">Оборудование световыми проекторами пешеходных переходов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3270,0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17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 </w:t>
            </w: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3270,0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 w:firstLine="0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-»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  <w:t xml:space="preserve">заменить строкой: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 w:firstLine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65"/>
        <w:gridCol w:w="1296"/>
        <w:gridCol w:w="622"/>
        <w:gridCol w:w="567"/>
        <w:gridCol w:w="1276"/>
        <w:gridCol w:w="1219"/>
        <w:gridCol w:w="1227"/>
        <w:gridCol w:w="1227"/>
        <w:gridCol w:w="1227"/>
        <w:gridCol w:w="1364"/>
        <w:gridCol w:w="1227"/>
        <w:gridCol w:w="1364"/>
      </w:tblGrid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«Мероприятие 6 «</w:t>
            </w:r>
            <w:r>
              <w:rPr>
                <w:sz w:val="18"/>
                <w:szCs w:val="18"/>
                <w:lang w:eastAsia="ru-RU"/>
              </w:rPr>
              <w:t xml:space="preserve">Оборудование световыми проекторами пешеходных переходов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960,0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6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96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 </w:t>
            </w: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6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1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960,0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1090,0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4" w:type="dxa"/>
            <w:textDirection w:val="lrTb"/>
            <w:noWrap/>
          </w:tcPr>
          <w:p>
            <w:pPr>
              <w:ind w:left="0" w:right="0" w:firstLine="0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-».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</w:rPr>
      </w:pPr>
      <w:r>
        <w:rPr>
          <w:highlight w:val="none"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szCs w:val="28"/>
          <w:highlight w:val="none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904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  <w:lang w:eastAsia="en-US"/>
        </w:rPr>
      </w:pPr>
      <w:r>
        <w:rPr>
          <w:sz w:val="28"/>
          <w:szCs w:val="20"/>
          <w:lang w:eastAsia="en-US"/>
        </w:rPr>
        <w:t xml:space="preserve"> 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left="0" w:right="0"/>
        <w:tabs>
          <w:tab w:val="left" w:pos="10854" w:leader="none"/>
        </w:tabs>
        <w:rPr>
          <w:szCs w:val="28"/>
        </w:rPr>
        <w:outlineLvl w:val="1"/>
      </w:pPr>
      <w:r>
        <w:rPr>
          <w:szCs w:val="28"/>
        </w:rPr>
        <w:t xml:space="preserve">2. Настоящее постановление вступает в силу со дня его подписания. </w:t>
      </w:r>
      <w:r>
        <w:rPr>
          <w:szCs w:val="28"/>
        </w:rPr>
      </w:r>
      <w:r>
        <w:rPr>
          <w:szCs w:val="28"/>
        </w:rPr>
      </w:r>
    </w:p>
    <w:p>
      <w:pPr>
        <w:pStyle w:val="88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/>
      </w:pPr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Р.Э. Гольдштейн</w:t>
      </w:r>
      <w:r/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tabs>
          <w:tab w:val="left" w:pos="5695" w:leader="none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  <w:r>
        <w:rPr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567" w:footer="51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5050102010205020202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</w:pPr>
    <w:fldSimple w:instr="PAGE \* MERGEFORMAT">
      <w:r>
        <w:t xml:space="preserve">1</w:t>
      </w:r>
    </w:fldSimple>
    <w:r/>
    <w:r/>
  </w:p>
  <w:p>
    <w:pPr>
      <w:pStyle w:val="885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ind w:left="74" w:right="-57"/>
    </w:pPr>
    <w:rPr>
      <w:sz w:val="28"/>
      <w:lang w:eastAsia="en-US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3 Char"/>
    <w:basedOn w:val="685"/>
    <w:link w:val="702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5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5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5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5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5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Subtitle Char"/>
    <w:basedOn w:val="685"/>
    <w:link w:val="721"/>
    <w:uiPriority w:val="11"/>
    <w:rPr>
      <w:sz w:val="24"/>
      <w:szCs w:val="24"/>
    </w:rPr>
  </w:style>
  <w:style w:type="character" w:styleId="696" w:customStyle="1">
    <w:name w:val="Quote Char"/>
    <w:link w:val="723"/>
    <w:uiPriority w:val="29"/>
    <w:rPr>
      <w:i/>
    </w:rPr>
  </w:style>
  <w:style w:type="character" w:styleId="697" w:customStyle="1">
    <w:name w:val="Intense Quote Char"/>
    <w:link w:val="725"/>
    <w:uiPriority w:val="30"/>
    <w:rPr>
      <w:i/>
    </w:rPr>
  </w:style>
  <w:style w:type="character" w:styleId="698" w:customStyle="1">
    <w:name w:val="Footnote Text Char"/>
    <w:link w:val="855"/>
    <w:uiPriority w:val="99"/>
    <w:rPr>
      <w:sz w:val="18"/>
    </w:rPr>
  </w:style>
  <w:style w:type="character" w:styleId="699" w:customStyle="1">
    <w:name w:val="Endnote Text Char"/>
    <w:link w:val="858"/>
    <w:uiPriority w:val="99"/>
    <w:rPr>
      <w:sz w:val="20"/>
    </w:rPr>
  </w:style>
  <w:style w:type="paragraph" w:styleId="700" w:customStyle="1">
    <w:name w:val="Heading 1"/>
    <w:basedOn w:val="684"/>
    <w:next w:val="684"/>
    <w:link w:val="903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701" w:customStyle="1">
    <w:name w:val="Heading 2"/>
    <w:basedOn w:val="684"/>
    <w:next w:val="684"/>
    <w:link w:val="898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02" w:customStyle="1">
    <w:name w:val="Heading 3"/>
    <w:basedOn w:val="684"/>
    <w:next w:val="6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 w:customStyle="1">
    <w:name w:val="Heading 4"/>
    <w:basedOn w:val="684"/>
    <w:next w:val="684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Heading 5"/>
    <w:basedOn w:val="684"/>
    <w:next w:val="684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Heading 6"/>
    <w:basedOn w:val="684"/>
    <w:next w:val="684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84"/>
    <w:next w:val="684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84"/>
    <w:next w:val="684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 w:customStyle="1">
    <w:name w:val="Heading 9"/>
    <w:basedOn w:val="684"/>
    <w:next w:val="684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85"/>
    <w:link w:val="702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85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85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85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85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85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8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4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character" w:styleId="720" w:customStyle="1">
    <w:name w:val="Title Char"/>
    <w:basedOn w:val="685"/>
    <w:uiPriority w:val="10"/>
    <w:rPr>
      <w:sz w:val="48"/>
      <w:szCs w:val="48"/>
    </w:rPr>
  </w:style>
  <w:style w:type="paragraph" w:styleId="721">
    <w:name w:val="Subtitle"/>
    <w:basedOn w:val="684"/>
    <w:next w:val="68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basedOn w:val="685"/>
    <w:link w:val="721"/>
    <w:uiPriority w:val="11"/>
    <w:rPr>
      <w:sz w:val="24"/>
      <w:szCs w:val="24"/>
    </w:rPr>
  </w:style>
  <w:style w:type="paragraph" w:styleId="723">
    <w:name w:val="Quote"/>
    <w:basedOn w:val="684"/>
    <w:next w:val="684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4"/>
    <w:next w:val="684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85"/>
    <w:uiPriority w:val="99"/>
  </w:style>
  <w:style w:type="character" w:styleId="728" w:customStyle="1">
    <w:name w:val="Footer Char"/>
    <w:basedOn w:val="685"/>
    <w:uiPriority w:val="99"/>
  </w:style>
  <w:style w:type="character" w:styleId="729" w:customStyle="1">
    <w:name w:val="Caption Char"/>
    <w:uiPriority w:val="99"/>
  </w:style>
  <w:style w:type="table" w:styleId="730" w:customStyle="1">
    <w:name w:val="Table Grid Light"/>
    <w:basedOn w:val="68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1"/>
    <w:basedOn w:val="68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68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68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8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8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8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8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8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8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68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8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8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8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8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8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8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basedOn w:val="68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8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8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8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8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8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8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68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8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68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68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68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68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68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 w:customStyle="1">
    <w:name w:val="Grid Table 5 Dark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basedOn w:val="68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8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6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68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6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68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68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7 Colorful"/>
    <w:basedOn w:val="68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basedOn w:val="68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basedOn w:val="68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basedOn w:val="68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basedOn w:val="68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basedOn w:val="68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basedOn w:val="68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List Table 1 Light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basedOn w:val="68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8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8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8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8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8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8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basedOn w:val="68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8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8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8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8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basedOn w:val="68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8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8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8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8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8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8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basedOn w:val="68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8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8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8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8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basedOn w:val="68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8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6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68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6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68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68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 w:customStyle="1">
    <w:name w:val="List Table 7 Colorful"/>
    <w:basedOn w:val="68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basedOn w:val="68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basedOn w:val="68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basedOn w:val="68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basedOn w:val="68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basedOn w:val="68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basedOn w:val="68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6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6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68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8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68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68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68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68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68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5">
    <w:name w:val="footnote text"/>
    <w:basedOn w:val="684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5"/>
    <w:uiPriority w:val="99"/>
    <w:unhideWhenUsed/>
    <w:rPr>
      <w:vertAlign w:val="superscript"/>
    </w:rPr>
  </w:style>
  <w:style w:type="paragraph" w:styleId="858">
    <w:name w:val="endnote text"/>
    <w:basedOn w:val="684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5"/>
    <w:uiPriority w:val="99"/>
    <w:semiHidden/>
    <w:unhideWhenUsed/>
    <w:rPr>
      <w:vertAlign w:val="superscript"/>
    </w:rPr>
  </w:style>
  <w:style w:type="paragraph" w:styleId="861">
    <w:name w:val="toc 1"/>
    <w:basedOn w:val="684"/>
    <w:next w:val="684"/>
    <w:uiPriority w:val="39"/>
    <w:unhideWhenUsed/>
    <w:pPr>
      <w:ind w:left="0" w:right="0"/>
      <w:spacing w:after="57"/>
    </w:pPr>
  </w:style>
  <w:style w:type="paragraph" w:styleId="862">
    <w:name w:val="toc 2"/>
    <w:basedOn w:val="684"/>
    <w:next w:val="684"/>
    <w:uiPriority w:val="39"/>
    <w:unhideWhenUsed/>
    <w:pPr>
      <w:ind w:left="283" w:right="0"/>
      <w:spacing w:after="57"/>
    </w:pPr>
  </w:style>
  <w:style w:type="paragraph" w:styleId="863">
    <w:name w:val="toc 3"/>
    <w:basedOn w:val="684"/>
    <w:next w:val="684"/>
    <w:uiPriority w:val="39"/>
    <w:unhideWhenUsed/>
    <w:pPr>
      <w:ind w:left="567" w:right="0"/>
      <w:spacing w:after="57"/>
    </w:pPr>
  </w:style>
  <w:style w:type="paragraph" w:styleId="864">
    <w:name w:val="toc 4"/>
    <w:basedOn w:val="684"/>
    <w:next w:val="684"/>
    <w:uiPriority w:val="39"/>
    <w:unhideWhenUsed/>
    <w:pPr>
      <w:ind w:left="850" w:right="0"/>
      <w:spacing w:after="57"/>
    </w:pPr>
  </w:style>
  <w:style w:type="paragraph" w:styleId="865">
    <w:name w:val="toc 5"/>
    <w:basedOn w:val="684"/>
    <w:next w:val="684"/>
    <w:uiPriority w:val="39"/>
    <w:unhideWhenUsed/>
    <w:pPr>
      <w:ind w:left="1134" w:right="0"/>
      <w:spacing w:after="57"/>
    </w:pPr>
  </w:style>
  <w:style w:type="paragraph" w:styleId="866">
    <w:name w:val="toc 6"/>
    <w:basedOn w:val="684"/>
    <w:next w:val="684"/>
    <w:uiPriority w:val="39"/>
    <w:unhideWhenUsed/>
    <w:pPr>
      <w:ind w:left="1417" w:right="0"/>
      <w:spacing w:after="57"/>
    </w:pPr>
  </w:style>
  <w:style w:type="paragraph" w:styleId="867">
    <w:name w:val="toc 7"/>
    <w:basedOn w:val="684"/>
    <w:next w:val="684"/>
    <w:uiPriority w:val="39"/>
    <w:unhideWhenUsed/>
    <w:pPr>
      <w:ind w:left="1701" w:right="0"/>
      <w:spacing w:after="57"/>
    </w:pPr>
  </w:style>
  <w:style w:type="paragraph" w:styleId="868">
    <w:name w:val="toc 8"/>
    <w:basedOn w:val="684"/>
    <w:next w:val="684"/>
    <w:uiPriority w:val="39"/>
    <w:unhideWhenUsed/>
    <w:pPr>
      <w:ind w:left="1984" w:right="0"/>
      <w:spacing w:after="57"/>
    </w:pPr>
  </w:style>
  <w:style w:type="paragraph" w:styleId="869">
    <w:name w:val="toc 9"/>
    <w:basedOn w:val="684"/>
    <w:next w:val="684"/>
    <w:uiPriority w:val="39"/>
    <w:unhideWhenUsed/>
    <w:pPr>
      <w:ind w:left="2268" w:right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84"/>
    <w:next w:val="684"/>
    <w:uiPriority w:val="99"/>
    <w:unhideWhenUsed/>
  </w:style>
  <w:style w:type="character" w:styleId="872" w:customStyle="1">
    <w:name w:val="Верхний колонтитул Знак"/>
    <w:uiPriority w:val="99"/>
  </w:style>
  <w:style w:type="character" w:styleId="873" w:customStyle="1">
    <w:name w:val="Нижний колонтитул Знак"/>
    <w:uiPriority w:val="99"/>
  </w:style>
  <w:style w:type="character" w:styleId="874" w:customStyle="1">
    <w:name w:val="Интернет-ссылка"/>
    <w:uiPriority w:val="99"/>
    <w:rPr>
      <w:color w:val="0000ff"/>
      <w:u w:val="single"/>
    </w:rPr>
  </w:style>
  <w:style w:type="paragraph" w:styleId="875">
    <w:name w:val="Title"/>
    <w:basedOn w:val="684"/>
    <w:next w:val="878"/>
    <w:link w:val="876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876" w:customStyle="1">
    <w:name w:val="Название Знак"/>
    <w:basedOn w:val="685"/>
    <w:link w:val="875"/>
    <w:uiPriority w:val="99"/>
    <w:rPr>
      <w:rFonts w:ascii="Cambria" w:hAnsi="Cambria" w:cs="Times New Roman"/>
      <w:b/>
      <w:sz w:val="32"/>
      <w:lang w:eastAsia="en-US"/>
    </w:rPr>
  </w:style>
  <w:style w:type="paragraph" w:styleId="877">
    <w:name w:val="List"/>
    <w:basedOn w:val="878"/>
    <w:uiPriority w:val="99"/>
    <w:rPr>
      <w:rFonts w:cs="Lohit Devanagari"/>
    </w:rPr>
  </w:style>
  <w:style w:type="paragraph" w:styleId="878">
    <w:name w:val="Body Text"/>
    <w:basedOn w:val="684"/>
    <w:link w:val="879"/>
    <w:uiPriority w:val="99"/>
    <w:pPr>
      <w:spacing w:after="140" w:line="288" w:lineRule="auto"/>
    </w:pPr>
  </w:style>
  <w:style w:type="character" w:styleId="879" w:customStyle="1">
    <w:name w:val="Основной текст Знак"/>
    <w:basedOn w:val="685"/>
    <w:link w:val="878"/>
    <w:uiPriority w:val="99"/>
    <w:semiHidden/>
    <w:rPr>
      <w:rFonts w:cs="Times New Roman"/>
      <w:sz w:val="20"/>
      <w:lang w:eastAsia="en-US"/>
    </w:rPr>
  </w:style>
  <w:style w:type="paragraph" w:styleId="880" w:customStyle="1">
    <w:name w:val="Caption"/>
    <w:basedOn w:val="684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1">
    <w:name w:val="index 1"/>
    <w:basedOn w:val="684"/>
    <w:next w:val="684"/>
    <w:uiPriority w:val="99"/>
    <w:semiHidden/>
    <w:pPr>
      <w:ind w:left="280" w:hanging="280"/>
    </w:pPr>
  </w:style>
  <w:style w:type="paragraph" w:styleId="882">
    <w:name w:val="index heading"/>
    <w:basedOn w:val="684"/>
    <w:uiPriority w:val="99"/>
    <w:pPr>
      <w:suppressLineNumbers/>
    </w:pPr>
    <w:rPr>
      <w:rFonts w:cs="Lohit Devanagari"/>
    </w:rPr>
  </w:style>
  <w:style w:type="paragraph" w:styleId="883" w:customStyle="1">
    <w:name w:val="ConsPlusTitle"/>
    <w:uiPriority w:val="99"/>
    <w:pPr>
      <w:widowControl w:val="off"/>
    </w:pPr>
    <w:rPr>
      <w:b/>
      <w:sz w:val="28"/>
    </w:rPr>
  </w:style>
  <w:style w:type="paragraph" w:styleId="884" w:customStyle="1">
    <w:name w:val="ConsPlusNormal"/>
    <w:pPr>
      <w:widowControl w:val="off"/>
    </w:pPr>
    <w:rPr>
      <w:sz w:val="28"/>
    </w:rPr>
  </w:style>
  <w:style w:type="paragraph" w:styleId="885" w:customStyle="1">
    <w:name w:val="Header"/>
    <w:basedOn w:val="684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1"/>
    <w:basedOn w:val="685"/>
    <w:link w:val="885"/>
    <w:uiPriority w:val="99"/>
    <w:rPr>
      <w:rFonts w:eastAsia="Times New Roman" w:cs="Times New Roman"/>
      <w:sz w:val="28"/>
      <w:lang w:val="ru-RU" w:eastAsia="en-US"/>
    </w:rPr>
  </w:style>
  <w:style w:type="character" w:styleId="887" w:customStyle="1">
    <w:name w:val="Нижний колонтитул Знак21"/>
    <w:uiPriority w:val="99"/>
    <w:semiHidden/>
    <w:rPr>
      <w:sz w:val="28"/>
      <w:lang w:eastAsia="en-US"/>
    </w:rPr>
  </w:style>
  <w:style w:type="paragraph" w:styleId="888" w:customStyle="1">
    <w:name w:val="Footer"/>
    <w:basedOn w:val="684"/>
    <w:link w:val="889"/>
    <w:uiPriority w:val="9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1"/>
    <w:basedOn w:val="685"/>
    <w:link w:val="888"/>
    <w:uiPriority w:val="99"/>
    <w:semiHidden/>
    <w:rPr>
      <w:rFonts w:cs="Times New Roman"/>
      <w:sz w:val="20"/>
      <w:lang w:eastAsia="en-US"/>
    </w:rPr>
  </w:style>
  <w:style w:type="paragraph" w:styleId="890" w:customStyle="1">
    <w:name w:val="Содержимое таблицы"/>
    <w:basedOn w:val="684"/>
    <w:uiPriority w:val="99"/>
  </w:style>
  <w:style w:type="character" w:styleId="891">
    <w:name w:val="page number"/>
    <w:basedOn w:val="685"/>
    <w:uiPriority w:val="99"/>
    <w:rPr>
      <w:rFonts w:cs="Times New Roman"/>
    </w:rPr>
  </w:style>
  <w:style w:type="paragraph" w:styleId="892">
    <w:name w:val="Balloon Text"/>
    <w:basedOn w:val="684"/>
    <w:link w:val="893"/>
    <w:uiPriority w:val="99"/>
    <w:semiHidden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685"/>
    <w:link w:val="892"/>
    <w:uiPriority w:val="99"/>
    <w:semiHidden/>
    <w:rPr>
      <w:rFonts w:ascii="Tahoma" w:hAnsi="Tahoma" w:cs="Times New Roman"/>
      <w:sz w:val="16"/>
      <w:lang w:eastAsia="en-US"/>
    </w:rPr>
  </w:style>
  <w:style w:type="paragraph" w:styleId="894">
    <w:name w:val="Document Map"/>
    <w:basedOn w:val="684"/>
    <w:link w:val="895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895" w:customStyle="1">
    <w:name w:val="Схема документа Знак"/>
    <w:basedOn w:val="685"/>
    <w:link w:val="894"/>
    <w:uiPriority w:val="99"/>
    <w:semiHidden/>
    <w:rPr>
      <w:rFonts w:ascii="Tahoma" w:hAnsi="Tahoma" w:cs="Times New Roman"/>
      <w:sz w:val="16"/>
      <w:lang w:eastAsia="en-US"/>
    </w:rPr>
  </w:style>
  <w:style w:type="character" w:styleId="896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897">
    <w:name w:val="Intense Emphasis"/>
    <w:basedOn w:val="685"/>
    <w:uiPriority w:val="21"/>
    <w:qFormat/>
    <w:rPr>
      <w:rFonts w:cs="Times New Roman"/>
      <w:i/>
      <w:color w:val="4f81bd"/>
    </w:rPr>
  </w:style>
  <w:style w:type="character" w:styleId="898" w:customStyle="1">
    <w:name w:val="Заголовок 2 Знак"/>
    <w:basedOn w:val="685"/>
    <w:link w:val="701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table" w:styleId="899">
    <w:name w:val="Table Grid"/>
    <w:basedOn w:val="686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0">
    <w:name w:val="Hyperlink"/>
    <w:basedOn w:val="685"/>
    <w:uiPriority w:val="99"/>
    <w:unhideWhenUsed/>
    <w:rPr>
      <w:color w:val="0000ff" w:themeColor="hyperlink"/>
      <w:u w:val="single"/>
    </w:rPr>
  </w:style>
  <w:style w:type="paragraph" w:styleId="901">
    <w:name w:val="Body Text 2"/>
    <w:basedOn w:val="684"/>
    <w:link w:val="902"/>
    <w:uiPriority w:val="99"/>
    <w:semiHidden/>
    <w:unhideWhenUsed/>
    <w:pPr>
      <w:spacing w:after="120" w:line="480" w:lineRule="auto"/>
    </w:pPr>
  </w:style>
  <w:style w:type="character" w:styleId="902" w:customStyle="1">
    <w:name w:val="Основной текст 2 Знак"/>
    <w:basedOn w:val="685"/>
    <w:link w:val="901"/>
    <w:uiPriority w:val="99"/>
    <w:semiHidden/>
    <w:rPr>
      <w:sz w:val="28"/>
      <w:lang w:eastAsia="en-US"/>
    </w:rPr>
  </w:style>
  <w:style w:type="character" w:styleId="903" w:customStyle="1">
    <w:name w:val="Заголовок 1 Знак"/>
    <w:basedOn w:val="685"/>
    <w:link w:val="70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904" w:customStyle="1">
    <w:name w:val="docdata"/>
    <w:basedOn w:val="684"/>
    <w:pPr>
      <w:ind w:left="0" w:right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ACD-CA52-4B5A-96EC-2E8AEA7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279</cp:revision>
  <dcterms:created xsi:type="dcterms:W3CDTF">2021-11-14T23:28:00Z</dcterms:created>
  <dcterms:modified xsi:type="dcterms:W3CDTF">2024-09-19T00:35:50Z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